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1FCB" w14:textId="33F18BBD" w:rsidR="00727145" w:rsidRPr="00561191" w:rsidRDefault="00561191" w:rsidP="00561191">
      <w:pPr>
        <w:spacing w:after="0"/>
        <w:jc w:val="center"/>
        <w:rPr>
          <w:b/>
          <w:bCs/>
          <w:sz w:val="32"/>
          <w:szCs w:val="32"/>
        </w:rPr>
      </w:pPr>
      <w:r w:rsidRPr="00561191">
        <w:rPr>
          <w:b/>
          <w:bCs/>
          <w:sz w:val="32"/>
          <w:szCs w:val="32"/>
        </w:rPr>
        <w:t>Job Description</w:t>
      </w:r>
    </w:p>
    <w:p w14:paraId="386E521F" w14:textId="77777777" w:rsidR="00561191" w:rsidRDefault="00561191" w:rsidP="00561191">
      <w:pPr>
        <w:spacing w:after="0"/>
        <w:rPr>
          <w:b/>
          <w:bCs/>
          <w:sz w:val="24"/>
          <w:szCs w:val="24"/>
        </w:rPr>
      </w:pPr>
    </w:p>
    <w:p w14:paraId="01DB6E5A" w14:textId="04D69DBF" w:rsidR="00561191" w:rsidRPr="00561191" w:rsidRDefault="00561191" w:rsidP="00561191">
      <w:pPr>
        <w:spacing w:after="0"/>
        <w:rPr>
          <w:sz w:val="24"/>
          <w:szCs w:val="24"/>
        </w:rPr>
      </w:pPr>
      <w:r w:rsidRPr="00561191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osition</w:t>
      </w:r>
      <w:r w:rsidRPr="00561191">
        <w:rPr>
          <w:b/>
          <w:bCs/>
          <w:sz w:val="24"/>
          <w:szCs w:val="24"/>
        </w:rPr>
        <w:t>:</w:t>
      </w:r>
      <w:r w:rsidRPr="0056119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1191">
        <w:rPr>
          <w:sz w:val="24"/>
          <w:szCs w:val="24"/>
        </w:rPr>
        <w:t>Referee Education Officer</w:t>
      </w:r>
    </w:p>
    <w:p w14:paraId="796E109B" w14:textId="77777777" w:rsidR="00561191" w:rsidRDefault="00561191" w:rsidP="00561191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</w:p>
    <w:p w14:paraId="6AC2C6F4" w14:textId="7B514FC4" w:rsidR="00561191" w:rsidRDefault="00561191" w:rsidP="00561191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561191">
        <w:rPr>
          <w:b/>
          <w:bCs/>
          <w:sz w:val="24"/>
          <w:szCs w:val="24"/>
        </w:rPr>
        <w:t>Reports to:</w:t>
      </w:r>
      <w:r w:rsidRPr="0056119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61191">
        <w:rPr>
          <w:sz w:val="24"/>
          <w:szCs w:val="24"/>
        </w:rPr>
        <w:t>Rugby and Operations Manager</w:t>
      </w:r>
    </w:p>
    <w:p w14:paraId="2E0B4526" w14:textId="77777777" w:rsidR="00561191" w:rsidRPr="00561191" w:rsidRDefault="00561191" w:rsidP="00561191">
      <w:pPr>
        <w:pBdr>
          <w:bottom w:val="single" w:sz="12" w:space="1" w:color="auto"/>
        </w:pBdr>
        <w:spacing w:after="0"/>
        <w:rPr>
          <w:sz w:val="12"/>
          <w:szCs w:val="12"/>
        </w:rPr>
      </w:pPr>
    </w:p>
    <w:p w14:paraId="5DD8BB19" w14:textId="77777777" w:rsidR="00561191" w:rsidRDefault="00561191" w:rsidP="00561191">
      <w:pPr>
        <w:spacing w:after="0"/>
        <w:rPr>
          <w:sz w:val="24"/>
          <w:szCs w:val="24"/>
        </w:rPr>
      </w:pPr>
    </w:p>
    <w:p w14:paraId="4D577CE5" w14:textId="0E7FF4A3" w:rsidR="00561191" w:rsidRPr="00561191" w:rsidRDefault="00561191" w:rsidP="00561191">
      <w:pPr>
        <w:spacing w:after="0"/>
        <w:rPr>
          <w:b/>
          <w:bCs/>
          <w:sz w:val="24"/>
          <w:szCs w:val="24"/>
        </w:rPr>
      </w:pPr>
      <w:r w:rsidRPr="00561191">
        <w:rPr>
          <w:b/>
          <w:bCs/>
          <w:sz w:val="24"/>
          <w:szCs w:val="24"/>
        </w:rPr>
        <w:t xml:space="preserve">Principle Purpose: </w:t>
      </w:r>
    </w:p>
    <w:p w14:paraId="305F3981" w14:textId="2A65477F" w:rsidR="00561191" w:rsidRDefault="00561191" w:rsidP="00561191">
      <w:pPr>
        <w:spacing w:after="0"/>
        <w:rPr>
          <w:sz w:val="24"/>
          <w:szCs w:val="24"/>
        </w:rPr>
      </w:pPr>
      <w:r w:rsidRPr="00561191">
        <w:rPr>
          <w:sz w:val="24"/>
          <w:szCs w:val="24"/>
        </w:rPr>
        <w:t>To manage the provision of ongoing recruitment, retention, training and development initiatives for Match Officials (referees, assistant referees, referee coaches, referee administrators) in the Counties Manukau RFUs</w:t>
      </w:r>
      <w:r w:rsidR="006B06F6">
        <w:rPr>
          <w:sz w:val="24"/>
          <w:szCs w:val="24"/>
        </w:rPr>
        <w:t>,</w:t>
      </w:r>
      <w:r w:rsidRPr="00561191">
        <w:rPr>
          <w:sz w:val="24"/>
          <w:szCs w:val="24"/>
        </w:rPr>
        <w:t xml:space="preserve"> with the overall aim of improving the quality and quantity of Match Officials.</w:t>
      </w:r>
    </w:p>
    <w:p w14:paraId="3B36BA2D" w14:textId="77777777" w:rsidR="00EE3604" w:rsidRPr="00561191" w:rsidRDefault="00EE3604" w:rsidP="005611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1191" w14:paraId="746C6B10" w14:textId="77777777" w:rsidTr="00EE3604">
        <w:trPr>
          <w:trHeight w:val="417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14:paraId="53AB79CC" w14:textId="24626744" w:rsidR="00561191" w:rsidRPr="00561191" w:rsidRDefault="00561191" w:rsidP="0056119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191">
              <w:rPr>
                <w:b/>
                <w:bCs/>
                <w:sz w:val="24"/>
                <w:szCs w:val="24"/>
              </w:rPr>
              <w:t>Key Responsibilities</w:t>
            </w:r>
          </w:p>
        </w:tc>
      </w:tr>
      <w:tr w:rsidR="00561191" w14:paraId="7DEEE9FA" w14:textId="77777777" w:rsidTr="00561191">
        <w:tc>
          <w:tcPr>
            <w:tcW w:w="9016" w:type="dxa"/>
          </w:tcPr>
          <w:p w14:paraId="697C6A9A" w14:textId="54E7BA4B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Work closely with the CMRRA to implement strategies and to promote and enhance a sound working relationship with CMRRA</w:t>
            </w:r>
          </w:p>
          <w:p w14:paraId="651273FA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Develop and deliver appropriate Match Official (referees, assistant referees, referee coaches, referee administrators) education and training programmes for all levels of refereeing and referee coaching</w:t>
            </w:r>
          </w:p>
          <w:p w14:paraId="0FF83C74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Ensure a Match Official recruitment and retention plan is in pace and implemented</w:t>
            </w:r>
          </w:p>
          <w:p w14:paraId="4133E091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Develop, deliver and implement referee modules associated with NZRU rugby courses and rugby safety courses</w:t>
            </w:r>
          </w:p>
          <w:p w14:paraId="7E3AFDE1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Promote and implement any NZRU and provincial initiatives to enhance the quality and quantity of Match Officials (referees, assistant referees, referee coaches, referee administrators)</w:t>
            </w:r>
          </w:p>
          <w:p w14:paraId="382A8D76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Oversee the delivery of law exam class tuition, NZRU Law Theory Examination</w:t>
            </w:r>
          </w:p>
          <w:p w14:paraId="5381B0EC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Manage the delivery of the Club Referee and the You Make The Call programmes</w:t>
            </w:r>
          </w:p>
          <w:p w14:paraId="316D2B65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Liaise with CMRRA and TVRRA to identify issues and establish education and training needs</w:t>
            </w:r>
          </w:p>
          <w:p w14:paraId="44269D7B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Manage the provision of refereeing services at local school and club tournaments/competitions, provincial competitions and tournaments hosted by CMRFU/TVRFU and assist at provincial/regional events when required</w:t>
            </w:r>
          </w:p>
          <w:p w14:paraId="18743EB8" w14:textId="23DA5DA6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Manage special projects implemented by CMRFU</w:t>
            </w:r>
          </w:p>
          <w:p w14:paraId="3E96D3D0" w14:textId="60A34A8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Assist with the development of the CMRFU referee business plan, including budgets</w:t>
            </w:r>
          </w:p>
          <w:p w14:paraId="3B48AA87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Coordinate and manage provincial/regional referee squad programmes and activities</w:t>
            </w:r>
          </w:p>
          <w:p w14:paraId="6DC2E052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Develop and implement activities to educate players, coaches, media and supporters in the Laws of the Game and the role of the referee</w:t>
            </w:r>
          </w:p>
          <w:p w14:paraId="68249D7A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Participate and contribute to NZ Rugby REO Workshops and other relevant NZ Rugby activities</w:t>
            </w:r>
          </w:p>
          <w:p w14:paraId="5FBA3C8B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Provide refereeing services and support to provincial representative teams</w:t>
            </w:r>
          </w:p>
          <w:p w14:paraId="06B17791" w14:textId="77777777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Maintain accurate data of Match Officials (referees, assistant referees, referee coaches, referee administrators) on NZRU database</w:t>
            </w:r>
          </w:p>
          <w:p w14:paraId="6144ABB3" w14:textId="30AE8176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lastRenderedPageBreak/>
              <w:t>Provision of reporting requirements to CMRFU and NZRU</w:t>
            </w:r>
          </w:p>
          <w:p w14:paraId="227BCA72" w14:textId="38B12C73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Enhance the image of CMRFU through being a positive role model and demonstrating sound knowledge of rugby development</w:t>
            </w:r>
          </w:p>
          <w:p w14:paraId="021237C8" w14:textId="5323DD26" w:rsidR="00EE3604" w:rsidRPr="00561191" w:rsidRDefault="00EE3604" w:rsidP="00EE3604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Coordinate Match Official support services for NZ Rugby fixtures hosted in CMRFU</w:t>
            </w:r>
          </w:p>
          <w:p w14:paraId="7E542A7D" w14:textId="1B02B6A1" w:rsidR="00561191" w:rsidRPr="00EE3604" w:rsidRDefault="00EE3604" w:rsidP="0056119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561191">
              <w:rPr>
                <w:rFonts w:eastAsia="Times New Roman"/>
                <w:sz w:val="24"/>
                <w:szCs w:val="24"/>
              </w:rPr>
              <w:t>Contribute to the wider activities of CMRFU as required</w:t>
            </w:r>
          </w:p>
        </w:tc>
      </w:tr>
    </w:tbl>
    <w:p w14:paraId="502DDB4F" w14:textId="3E6CC140" w:rsidR="00561191" w:rsidRDefault="00561191" w:rsidP="00561191">
      <w:pPr>
        <w:spacing w:after="0"/>
        <w:rPr>
          <w:sz w:val="24"/>
          <w:szCs w:val="24"/>
        </w:rPr>
      </w:pPr>
    </w:p>
    <w:p w14:paraId="6D3E8864" w14:textId="041AA865" w:rsidR="00EE3604" w:rsidRPr="00561191" w:rsidRDefault="00EE3604" w:rsidP="00561191">
      <w:pPr>
        <w:spacing w:after="0"/>
        <w:rPr>
          <w:sz w:val="24"/>
          <w:szCs w:val="24"/>
        </w:rPr>
      </w:pPr>
      <w:r w:rsidRPr="00EE3604">
        <w:rPr>
          <w:b/>
          <w:bCs/>
          <w:sz w:val="24"/>
          <w:szCs w:val="24"/>
        </w:rPr>
        <w:t xml:space="preserve">Relationships: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3604" w14:paraId="5580B1CA" w14:textId="77777777" w:rsidTr="00EE3604">
        <w:trPr>
          <w:trHeight w:val="472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7F8FF9CD" w14:textId="56BE7436" w:rsidR="00EE3604" w:rsidRPr="00EE3604" w:rsidRDefault="00EE3604" w:rsidP="005102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3604">
              <w:rPr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16F3AA3" w14:textId="20901DF4" w:rsidR="00EE3604" w:rsidRPr="00EE3604" w:rsidRDefault="00EE3604" w:rsidP="005102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3604">
              <w:rPr>
                <w:b/>
                <w:bCs/>
                <w:sz w:val="24"/>
                <w:szCs w:val="24"/>
              </w:rPr>
              <w:t>Internal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33296126" w14:textId="311E1684" w:rsidR="00EE3604" w:rsidRPr="00EE3604" w:rsidRDefault="00EE3604" w:rsidP="005102F8">
            <w:pPr>
              <w:jc w:val="center"/>
              <w:rPr>
                <w:b/>
                <w:bCs/>
                <w:sz w:val="24"/>
                <w:szCs w:val="24"/>
              </w:rPr>
            </w:pPr>
            <w:r w:rsidRPr="00EE3604">
              <w:rPr>
                <w:b/>
                <w:bCs/>
                <w:sz w:val="24"/>
                <w:szCs w:val="24"/>
              </w:rPr>
              <w:t>Committees/Groups</w:t>
            </w:r>
          </w:p>
        </w:tc>
      </w:tr>
      <w:tr w:rsidR="00EE3604" w14:paraId="38B1E8DD" w14:textId="77777777" w:rsidTr="00EE3604">
        <w:tc>
          <w:tcPr>
            <w:tcW w:w="3005" w:type="dxa"/>
          </w:tcPr>
          <w:p w14:paraId="0A9694D2" w14:textId="2DEDECF0" w:rsidR="005102F8" w:rsidRDefault="005102F8" w:rsidP="00510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61191">
              <w:rPr>
                <w:sz w:val="24"/>
                <w:szCs w:val="24"/>
              </w:rPr>
              <w:t xml:space="preserve">lub &amp; </w:t>
            </w:r>
            <w:r>
              <w:rPr>
                <w:sz w:val="24"/>
                <w:szCs w:val="24"/>
              </w:rPr>
              <w:t>S</w:t>
            </w:r>
            <w:r w:rsidRPr="00561191">
              <w:rPr>
                <w:sz w:val="24"/>
                <w:szCs w:val="24"/>
              </w:rPr>
              <w:t>chool personal (players, coaches, referees, administrators)</w:t>
            </w:r>
          </w:p>
          <w:p w14:paraId="73603DFB" w14:textId="15E6DE9D" w:rsidR="005102F8" w:rsidRDefault="005102F8" w:rsidP="005102F8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Other P</w:t>
            </w:r>
            <w:r>
              <w:rPr>
                <w:sz w:val="24"/>
                <w:szCs w:val="24"/>
              </w:rPr>
              <w:t>U</w:t>
            </w:r>
            <w:r w:rsidRPr="00561191">
              <w:rPr>
                <w:sz w:val="24"/>
                <w:szCs w:val="24"/>
              </w:rPr>
              <w:t>s</w:t>
            </w:r>
          </w:p>
          <w:p w14:paraId="2399D5FE" w14:textId="22310C6A" w:rsidR="005102F8" w:rsidRDefault="005102F8" w:rsidP="005102F8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Northern Region Rugby Council</w:t>
            </w:r>
          </w:p>
          <w:p w14:paraId="1BD6EDB2" w14:textId="77777777" w:rsidR="005102F8" w:rsidRDefault="005102F8" w:rsidP="005102F8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 xml:space="preserve">RRAs (other) </w:t>
            </w:r>
          </w:p>
          <w:p w14:paraId="45317B0F" w14:textId="1F697745" w:rsidR="00EE3604" w:rsidRDefault="005102F8" w:rsidP="00561191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NZ Rugby</w:t>
            </w:r>
          </w:p>
        </w:tc>
        <w:tc>
          <w:tcPr>
            <w:tcW w:w="3005" w:type="dxa"/>
          </w:tcPr>
          <w:p w14:paraId="2F0FE6E0" w14:textId="6FFE6FE8" w:rsidR="005102F8" w:rsidRDefault="005102F8" w:rsidP="00561191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CMRFU Staff and Board</w:t>
            </w:r>
          </w:p>
          <w:p w14:paraId="164ABEC6" w14:textId="75E4D7AB" w:rsidR="00EE3604" w:rsidRDefault="005102F8" w:rsidP="00561191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CMRRA</w:t>
            </w:r>
            <w:bookmarkStart w:id="0" w:name="_GoBack"/>
            <w:bookmarkEnd w:id="0"/>
          </w:p>
        </w:tc>
        <w:tc>
          <w:tcPr>
            <w:tcW w:w="3006" w:type="dxa"/>
          </w:tcPr>
          <w:p w14:paraId="4C8580FB" w14:textId="77777777" w:rsidR="00EE3604" w:rsidRDefault="00EE3604" w:rsidP="00561191">
            <w:pPr>
              <w:rPr>
                <w:sz w:val="24"/>
                <w:szCs w:val="24"/>
              </w:rPr>
            </w:pPr>
          </w:p>
        </w:tc>
      </w:tr>
    </w:tbl>
    <w:p w14:paraId="189864E4" w14:textId="77777777" w:rsidR="00561191" w:rsidRPr="00561191" w:rsidRDefault="00561191" w:rsidP="00561191">
      <w:pPr>
        <w:spacing w:after="0"/>
        <w:rPr>
          <w:sz w:val="24"/>
          <w:szCs w:val="24"/>
        </w:rPr>
      </w:pPr>
    </w:p>
    <w:p w14:paraId="29633587" w14:textId="77777777" w:rsidR="00561191" w:rsidRPr="005102F8" w:rsidRDefault="00561191" w:rsidP="00561191">
      <w:pPr>
        <w:spacing w:after="0"/>
        <w:rPr>
          <w:b/>
          <w:bCs/>
          <w:sz w:val="24"/>
          <w:szCs w:val="24"/>
        </w:rPr>
      </w:pPr>
      <w:r w:rsidRPr="005102F8">
        <w:rPr>
          <w:b/>
          <w:bCs/>
          <w:sz w:val="24"/>
          <w:szCs w:val="24"/>
        </w:rPr>
        <w:t>Qualifications, experience, special skills, and attributes: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102F8" w14:paraId="0AF50744" w14:textId="77777777" w:rsidTr="007741B9">
        <w:trPr>
          <w:trHeight w:val="472"/>
        </w:trPr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0D7842ED" w14:textId="77D867D4" w:rsidR="005102F8" w:rsidRPr="00EE3604" w:rsidRDefault="005102F8" w:rsidP="007741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  <w:vAlign w:val="center"/>
          </w:tcPr>
          <w:p w14:paraId="59AC3505" w14:textId="6C3A791F" w:rsidR="005102F8" w:rsidRPr="005102F8" w:rsidRDefault="005102F8" w:rsidP="005102F8">
            <w:pPr>
              <w:jc w:val="center"/>
              <w:rPr>
                <w:b/>
                <w:bCs/>
                <w:sz w:val="24"/>
                <w:szCs w:val="24"/>
              </w:rPr>
            </w:pPr>
            <w:r w:rsidRPr="005102F8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14:paraId="3E7AE020" w14:textId="13557B09" w:rsidR="005102F8" w:rsidRPr="005102F8" w:rsidRDefault="005102F8" w:rsidP="005102F8">
            <w:pPr>
              <w:jc w:val="center"/>
              <w:rPr>
                <w:b/>
                <w:bCs/>
                <w:sz w:val="24"/>
                <w:szCs w:val="24"/>
              </w:rPr>
            </w:pPr>
            <w:r w:rsidRPr="005102F8">
              <w:rPr>
                <w:b/>
                <w:bCs/>
                <w:sz w:val="24"/>
                <w:szCs w:val="24"/>
              </w:rPr>
              <w:t>Preferred</w:t>
            </w:r>
          </w:p>
        </w:tc>
      </w:tr>
      <w:tr w:rsidR="005102F8" w14:paraId="36DA82CB" w14:textId="77777777" w:rsidTr="007741B9">
        <w:tc>
          <w:tcPr>
            <w:tcW w:w="3005" w:type="dxa"/>
          </w:tcPr>
          <w:p w14:paraId="17F417D2" w14:textId="02E829A3" w:rsidR="005102F8" w:rsidRDefault="005102F8" w:rsidP="007741B9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Education/</w:t>
            </w:r>
            <w:r>
              <w:rPr>
                <w:sz w:val="24"/>
                <w:szCs w:val="24"/>
              </w:rPr>
              <w:t>A</w:t>
            </w:r>
            <w:r w:rsidRPr="00561191">
              <w:rPr>
                <w:sz w:val="24"/>
                <w:szCs w:val="24"/>
              </w:rPr>
              <w:t>chievements</w:t>
            </w:r>
          </w:p>
        </w:tc>
        <w:tc>
          <w:tcPr>
            <w:tcW w:w="3005" w:type="dxa"/>
          </w:tcPr>
          <w:p w14:paraId="6F3A6A51" w14:textId="1ED7B33D" w:rsidR="005102F8" w:rsidRDefault="005102F8" w:rsidP="007741B9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14:paraId="2F0D9359" w14:textId="5BD11A2D" w:rsidR="005102F8" w:rsidRDefault="005102F8" w:rsidP="007741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561191">
              <w:rPr>
                <w:sz w:val="24"/>
                <w:szCs w:val="24"/>
              </w:rPr>
              <w:t>ertiary qualifications relevant to current position</w:t>
            </w:r>
          </w:p>
        </w:tc>
      </w:tr>
      <w:tr w:rsidR="005102F8" w14:paraId="0FD39A77" w14:textId="77777777" w:rsidTr="007741B9">
        <w:tc>
          <w:tcPr>
            <w:tcW w:w="3005" w:type="dxa"/>
          </w:tcPr>
          <w:p w14:paraId="2B968C6F" w14:textId="4A33AE83" w:rsidR="005102F8" w:rsidRPr="00561191" w:rsidRDefault="005102F8" w:rsidP="005102F8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Experience/</w:t>
            </w:r>
            <w:r>
              <w:rPr>
                <w:sz w:val="24"/>
                <w:szCs w:val="24"/>
              </w:rPr>
              <w:t>K</w:t>
            </w:r>
            <w:r w:rsidRPr="00561191">
              <w:rPr>
                <w:sz w:val="24"/>
                <w:szCs w:val="24"/>
              </w:rPr>
              <w:t>nowledge</w:t>
            </w:r>
          </w:p>
        </w:tc>
        <w:tc>
          <w:tcPr>
            <w:tcW w:w="3005" w:type="dxa"/>
          </w:tcPr>
          <w:p w14:paraId="6E315056" w14:textId="283F93CB" w:rsidR="005102F8" w:rsidRPr="005102F8" w:rsidRDefault="005102F8" w:rsidP="005102F8">
            <w:pPr>
              <w:pStyle w:val="ListParagraph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 xml:space="preserve">Knowledge of the Principles of Rugby </w:t>
            </w:r>
          </w:p>
          <w:p w14:paraId="49965A7C" w14:textId="2A159F79" w:rsidR="005102F8" w:rsidRPr="005102F8" w:rsidRDefault="005102F8" w:rsidP="005102F8">
            <w:pPr>
              <w:pStyle w:val="ListParagraph"/>
              <w:numPr>
                <w:ilvl w:val="0"/>
                <w:numId w:val="3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Knowledge of the Laws of the Game</w:t>
            </w:r>
          </w:p>
        </w:tc>
        <w:tc>
          <w:tcPr>
            <w:tcW w:w="3006" w:type="dxa"/>
          </w:tcPr>
          <w:p w14:paraId="688993F2" w14:textId="6401EE6A" w:rsidR="005102F8" w:rsidRPr="005102F8" w:rsidRDefault="005102F8" w:rsidP="005102F8">
            <w:pPr>
              <w:pStyle w:val="ListParagraph"/>
              <w:numPr>
                <w:ilvl w:val="0"/>
                <w:numId w:val="4"/>
              </w:numPr>
              <w:ind w:left="260" w:hanging="260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Five years refereeing experience</w:t>
            </w:r>
          </w:p>
          <w:p w14:paraId="281A30EC" w14:textId="419D191A" w:rsidR="005102F8" w:rsidRPr="005102F8" w:rsidRDefault="005102F8" w:rsidP="005102F8">
            <w:pPr>
              <w:pStyle w:val="ListParagraph"/>
              <w:numPr>
                <w:ilvl w:val="0"/>
                <w:numId w:val="4"/>
              </w:numPr>
              <w:ind w:left="260" w:hanging="260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Experience and success in the delivery of training courses</w:t>
            </w:r>
          </w:p>
        </w:tc>
      </w:tr>
      <w:tr w:rsidR="005102F8" w14:paraId="7BCC13EB" w14:textId="77777777" w:rsidTr="007741B9">
        <w:tc>
          <w:tcPr>
            <w:tcW w:w="3005" w:type="dxa"/>
          </w:tcPr>
          <w:p w14:paraId="30790923" w14:textId="3B493542" w:rsidR="005102F8" w:rsidRPr="00561191" w:rsidRDefault="005102F8" w:rsidP="005102F8">
            <w:pPr>
              <w:rPr>
                <w:sz w:val="24"/>
                <w:szCs w:val="24"/>
              </w:rPr>
            </w:pPr>
            <w:r w:rsidRPr="00561191">
              <w:rPr>
                <w:sz w:val="24"/>
                <w:szCs w:val="24"/>
              </w:rPr>
              <w:t>Special Skills/Attributes</w:t>
            </w:r>
          </w:p>
        </w:tc>
        <w:tc>
          <w:tcPr>
            <w:tcW w:w="3005" w:type="dxa"/>
          </w:tcPr>
          <w:p w14:paraId="712E9D6A" w14:textId="69EB86DF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5102F8">
              <w:rPr>
                <w:sz w:val="24"/>
                <w:szCs w:val="24"/>
              </w:rPr>
              <w:t>bility to train referees, coaches, and referee evaluators</w:t>
            </w:r>
          </w:p>
          <w:p w14:paraId="658FBE41" w14:textId="77777777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Communication skills (written &amp; oral)</w:t>
            </w:r>
          </w:p>
          <w:p w14:paraId="56B6871A" w14:textId="77777777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Time management skills Administer/facilitate meeting and courses</w:t>
            </w:r>
          </w:p>
          <w:p w14:paraId="75033DB9" w14:textId="57EA6877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Delegation</w:t>
            </w:r>
          </w:p>
          <w:p w14:paraId="62F786A0" w14:textId="77777777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 xml:space="preserve">Problem solving </w:t>
            </w:r>
          </w:p>
          <w:p w14:paraId="2E604F78" w14:textId="4CF4A39B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83" w:hanging="283"/>
              <w:rPr>
                <w:sz w:val="24"/>
                <w:szCs w:val="24"/>
              </w:rPr>
            </w:pPr>
            <w:r w:rsidRPr="005102F8">
              <w:rPr>
                <w:sz w:val="24"/>
                <w:szCs w:val="24"/>
              </w:rPr>
              <w:t>Facilitation</w:t>
            </w:r>
          </w:p>
        </w:tc>
        <w:tc>
          <w:tcPr>
            <w:tcW w:w="3006" w:type="dxa"/>
          </w:tcPr>
          <w:p w14:paraId="3FD57A92" w14:textId="6D214416" w:rsidR="005102F8" w:rsidRPr="005102F8" w:rsidRDefault="005102F8" w:rsidP="005102F8">
            <w:pPr>
              <w:pStyle w:val="ListParagraph"/>
              <w:numPr>
                <w:ilvl w:val="0"/>
                <w:numId w:val="5"/>
              </w:numPr>
              <w:ind w:left="260" w:hanging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5102F8">
              <w:rPr>
                <w:sz w:val="24"/>
                <w:szCs w:val="24"/>
              </w:rPr>
              <w:t>inancial accountability</w:t>
            </w:r>
          </w:p>
        </w:tc>
      </w:tr>
    </w:tbl>
    <w:p w14:paraId="548A8E0D" w14:textId="77777777" w:rsidR="00561191" w:rsidRPr="00561191" w:rsidRDefault="00561191" w:rsidP="00561191">
      <w:pPr>
        <w:spacing w:after="0"/>
        <w:rPr>
          <w:sz w:val="24"/>
          <w:szCs w:val="24"/>
        </w:rPr>
      </w:pPr>
    </w:p>
    <w:sectPr w:rsidR="00561191" w:rsidRPr="00561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10B"/>
    <w:multiLevelType w:val="hybridMultilevel"/>
    <w:tmpl w:val="3BCA3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40152"/>
    <w:multiLevelType w:val="hybridMultilevel"/>
    <w:tmpl w:val="AC8CF1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9004A"/>
    <w:multiLevelType w:val="hybridMultilevel"/>
    <w:tmpl w:val="1744C9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502"/>
    <w:multiLevelType w:val="hybridMultilevel"/>
    <w:tmpl w:val="52562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91"/>
    <w:rsid w:val="004828B2"/>
    <w:rsid w:val="005102F8"/>
    <w:rsid w:val="00561191"/>
    <w:rsid w:val="006B06F6"/>
    <w:rsid w:val="00BB2181"/>
    <w:rsid w:val="00E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DEA3"/>
  <w15:chartTrackingRefBased/>
  <w15:docId w15:val="{83FB6B23-755B-4ED7-86DF-9844364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191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61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Tucker</dc:creator>
  <cp:keywords/>
  <dc:description/>
  <cp:lastModifiedBy>Dale Tucker</cp:lastModifiedBy>
  <cp:revision>2</cp:revision>
  <dcterms:created xsi:type="dcterms:W3CDTF">2020-01-28T21:12:00Z</dcterms:created>
  <dcterms:modified xsi:type="dcterms:W3CDTF">2020-01-31T00:56:00Z</dcterms:modified>
</cp:coreProperties>
</file>